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EB Garamond" w:cs="EB Garamond" w:eastAsia="EB Garamond" w:hAnsi="EB Garamond"/>
          <w:b w:val="1"/>
          <w:sz w:val="50"/>
          <w:szCs w:val="50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50"/>
          <w:szCs w:val="50"/>
          <w:rtl w:val="0"/>
        </w:rPr>
        <w:t xml:space="preserve">EVOLUÇÃO MÉDICA</w:t>
      </w: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1134"/>
        <w:gridCol w:w="4820"/>
        <w:gridCol w:w="3940"/>
        <w:tblGridChange w:id="0">
          <w:tblGrid>
            <w:gridCol w:w="562"/>
            <w:gridCol w:w="1134"/>
            <w:gridCol w:w="4820"/>
            <w:gridCol w:w="3940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ind w:left="113" w:right="113" w:firstLine="0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03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                          DANILO LUCAS SILVAS</w:t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Nº de dias Solicitados: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Diagnóstico _____________________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Tratamento _____________________</w:t>
            </w:r>
          </w:p>
          <w:p w:rsidR="00000000" w:rsidDel="00000000" w:rsidP="00000000" w:rsidRDefault="00000000" w:rsidRPr="00000000" w14:paraId="0000000F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Evolução Médica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26/02/2025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EB Garamond">
    <w:embedBold w:fontKey="{00000000-0000-0000-0000-000000000000}" r:id="rId1" w:subsetted="0"/>
    <w:embedBol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="276" w:lineRule="auto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FUNDACAO DE SAUDE DILSON DE QUADROS GODINHO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-257174</wp:posOffset>
          </wp:positionH>
          <wp:positionV relativeFrom="paragraph">
            <wp:posOffset>-171449</wp:posOffset>
          </wp:positionV>
          <wp:extent cx="1246159" cy="6592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6159" cy="6592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spacing w:after="0" w:line="276" w:lineRule="auto"/>
      <w:jc w:val="center"/>
      <w:rPr>
        <w:rFonts w:ascii="Arial" w:cs="Arial" w:eastAsia="Arial" w:hAnsi="Arial"/>
        <w:u w:val="single"/>
      </w:rPr>
    </w:pPr>
    <w:r w:rsidDel="00000000" w:rsidR="00000000" w:rsidRPr="00000000">
      <w:rPr>
        <w:rFonts w:ascii="Arial" w:cs="Arial" w:eastAsia="Arial" w:hAnsi="Arial"/>
        <w:u w:val="single"/>
        <w:rtl w:val="0"/>
      </w:rPr>
      <w:t xml:space="preserve">HOSPITAL DILSON GODINHO</w:t>
    </w:r>
  </w:p>
  <w:p w:rsidR="00000000" w:rsidDel="00000000" w:rsidP="00000000" w:rsidRDefault="00000000" w:rsidRPr="00000000" w14:paraId="00000023">
    <w:pPr>
      <w:spacing w:after="0" w:line="276" w:lineRule="auto"/>
      <w:jc w:val="center"/>
      <w:rPr>
        <w:rFonts w:ascii="Arial" w:cs="Arial" w:eastAsia="Arial" w:hAnsi="Arial"/>
        <w:color w:val="202124"/>
        <w:sz w:val="19"/>
        <w:szCs w:val="19"/>
        <w:highlight w:val="white"/>
      </w:rPr>
    </w:pPr>
    <w:r w:rsidDel="00000000" w:rsidR="00000000" w:rsidRPr="00000000">
      <w:rPr>
        <w:rFonts w:ascii="Arial" w:cs="Arial" w:eastAsia="Arial" w:hAnsi="Arial"/>
        <w:color w:val="202124"/>
        <w:sz w:val="19"/>
        <w:szCs w:val="19"/>
        <w:highlight w:val="white"/>
        <w:rtl w:val="0"/>
      </w:rPr>
      <w:t xml:space="preserve">Av. Geraldo Athayde, 480 - bairro São João, Montes Claros - MG, CEP 39400-292</w:t>
    </w:r>
  </w:p>
  <w:p w:rsidR="00000000" w:rsidDel="00000000" w:rsidP="00000000" w:rsidRDefault="00000000" w:rsidRPr="00000000" w14:paraId="00000024">
    <w:pPr>
      <w:spacing w:after="0" w:line="276" w:lineRule="auto"/>
      <w:jc w:val="center"/>
      <w:rPr>
        <w:rFonts w:ascii="Arial" w:cs="Arial" w:eastAsia="Arial" w:hAnsi="Arial"/>
        <w:color w:val="202124"/>
        <w:sz w:val="21"/>
        <w:szCs w:val="21"/>
        <w:highlight w:val="white"/>
      </w:rPr>
    </w:pPr>
    <w:r w:rsidDel="00000000" w:rsidR="00000000" w:rsidRPr="00000000">
      <w:rPr>
        <w:rFonts w:ascii="Arial" w:cs="Arial" w:eastAsia="Arial" w:hAnsi="Arial"/>
        <w:color w:val="202124"/>
        <w:sz w:val="19"/>
        <w:szCs w:val="19"/>
        <w:highlight w:val="white"/>
        <w:rtl w:val="0"/>
      </w:rPr>
      <w:t xml:space="preserve">PABX (38) 3229 4000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bold.ttf"/><Relationship Id="rId2" Type="http://schemas.openxmlformats.org/officeDocument/2006/relationships/font" Target="fonts/EB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